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BAD474">
      <w:pPr>
        <w:keepNext w:val="0"/>
        <w:keepLines w:val="0"/>
        <w:pageBreakBefore w:val="0"/>
        <w:widowControl w:val="0"/>
        <w:kinsoku/>
        <w:overflowPunct/>
        <w:topLinePunct w:val="0"/>
        <w:autoSpaceDE/>
        <w:autoSpaceDN/>
        <w:bidi w:val="0"/>
        <w:adjustRightInd/>
        <w:snapToGrid/>
        <w:spacing w:line="576" w:lineRule="exact"/>
        <w:ind w:right="960" w:firstLine="630"/>
        <w:jc w:val="right"/>
        <w:textAlignment w:val="auto"/>
        <w:rPr>
          <w:rFonts w:hint="eastAsia" w:eastAsia="仿宋_GB2312"/>
          <w:sz w:val="32"/>
          <w:szCs w:val="24"/>
          <w:lang w:val="en-US" w:eastAsia="zh-CN"/>
        </w:rPr>
      </w:pPr>
    </w:p>
    <w:p w14:paraId="1955A2AE">
      <w:pPr>
        <w:keepNext w:val="0"/>
        <w:keepLines w:val="0"/>
        <w:pageBreakBefore w:val="0"/>
        <w:widowControl w:val="0"/>
        <w:kinsoku/>
        <w:overflowPunct/>
        <w:topLinePunct w:val="0"/>
        <w:autoSpaceDE/>
        <w:autoSpaceDN/>
        <w:bidi w:val="0"/>
        <w:adjustRightInd/>
        <w:snapToGrid/>
        <w:spacing w:line="576" w:lineRule="exact"/>
        <w:ind w:right="960" w:firstLine="630"/>
        <w:jc w:val="right"/>
        <w:textAlignment w:val="auto"/>
        <w:rPr>
          <w:rFonts w:hint="eastAsia" w:eastAsia="仿宋_GB2312"/>
          <w:sz w:val="32"/>
          <w:szCs w:val="24"/>
          <w:lang w:val="en-US" w:eastAsia="zh-CN"/>
        </w:rPr>
      </w:pPr>
    </w:p>
    <w:p w14:paraId="5A70E410">
      <w:pPr>
        <w:keepNext w:val="0"/>
        <w:keepLines w:val="0"/>
        <w:pageBreakBefore w:val="0"/>
        <w:widowControl w:val="0"/>
        <w:kinsoku/>
        <w:wordWrap/>
        <w:overflowPunct/>
        <w:topLinePunct w:val="0"/>
        <w:autoSpaceDE/>
        <w:autoSpaceDN/>
        <w:bidi w:val="0"/>
        <w:adjustRightInd/>
        <w:snapToGrid/>
        <w:spacing w:line="576" w:lineRule="exact"/>
        <w:ind w:right="960" w:firstLine="630"/>
        <w:jc w:val="right"/>
        <w:textAlignment w:val="auto"/>
        <w:rPr>
          <w:rFonts w:hint="eastAsia" w:ascii="仿宋_GB2312" w:hAnsi="仿宋_GB2312" w:eastAsia="仿宋_GB2312" w:cs="仿宋_GB2312"/>
          <w:sz w:val="32"/>
          <w:szCs w:val="32"/>
          <w:lang w:val="en-US" w:eastAsia="zh-CN"/>
        </w:rPr>
      </w:pPr>
      <w:r>
        <w:rPr>
          <w:rFonts w:hint="eastAsia" w:eastAsia="仿宋_GB2312"/>
          <w:sz w:val="32"/>
          <w:szCs w:val="32"/>
          <w:lang w:val="en-US" w:eastAsia="zh-CN"/>
        </w:rPr>
        <w:t xml:space="preserve">  </w:t>
      </w:r>
      <w:r>
        <w:rPr>
          <w:rFonts w:hint="eastAsia" w:ascii="仿宋_GB2312" w:hAnsi="仿宋_GB2312" w:eastAsia="仿宋_GB2312" w:cs="仿宋_GB2312"/>
          <w:sz w:val="32"/>
          <w:szCs w:val="32"/>
          <w:lang w:val="en-US" w:eastAsia="zh-CN"/>
        </w:rPr>
        <w:t>是否同意公开：（是）</w:t>
      </w:r>
    </w:p>
    <w:p w14:paraId="513836AB">
      <w:pPr>
        <w:keepNext w:val="0"/>
        <w:keepLines w:val="0"/>
        <w:pageBreakBefore w:val="0"/>
        <w:widowControl w:val="0"/>
        <w:kinsoku/>
        <w:wordWrap/>
        <w:overflowPunct/>
        <w:topLinePunct w:val="0"/>
        <w:autoSpaceDE/>
        <w:autoSpaceDN/>
        <w:bidi w:val="0"/>
        <w:adjustRightInd/>
        <w:snapToGrid/>
        <w:spacing w:line="576" w:lineRule="exact"/>
        <w:ind w:right="640"/>
        <w:jc w:val="center"/>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办理结果：</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A</w:t>
      </w:r>
      <w:r>
        <w:rPr>
          <w:rFonts w:hint="eastAsia" w:ascii="仿宋_GB2312" w:hAnsi="仿宋_GB2312" w:eastAsia="仿宋_GB2312" w:cs="仿宋_GB2312"/>
          <w:sz w:val="32"/>
          <w:szCs w:val="32"/>
          <w:lang w:eastAsia="zh-CN"/>
        </w:rPr>
        <w:t>）</w:t>
      </w:r>
    </w:p>
    <w:p w14:paraId="60081027">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righ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滦住建承办字</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 xml:space="preserve"> 7</w:t>
      </w:r>
      <w:r>
        <w:rPr>
          <w:rFonts w:hint="eastAsia" w:ascii="仿宋_GB2312" w:hAnsi="仿宋_GB2312" w:eastAsia="仿宋_GB2312" w:cs="仿宋_GB2312"/>
          <w:sz w:val="32"/>
          <w:szCs w:val="32"/>
        </w:rPr>
        <w:t>号</w:t>
      </w:r>
    </w:p>
    <w:p w14:paraId="776C8BFC">
      <w:pPr>
        <w:keepNext w:val="0"/>
        <w:keepLines w:val="0"/>
        <w:pageBreakBefore w:val="0"/>
        <w:widowControl w:val="0"/>
        <w:kinsoku/>
        <w:overflowPunct/>
        <w:topLinePunct w:val="0"/>
        <w:autoSpaceDE/>
        <w:autoSpaceDN/>
        <w:bidi w:val="0"/>
        <w:adjustRightInd/>
        <w:snapToGrid/>
        <w:spacing w:line="576" w:lineRule="exact"/>
        <w:jc w:val="center"/>
        <w:textAlignment w:val="auto"/>
        <w:rPr>
          <w:rFonts w:hint="eastAsia" w:ascii="方正小标宋简体" w:hAnsi="方正小标宋简体" w:eastAsia="方正小标宋简体" w:cs="方正小标宋简体"/>
          <w:sz w:val="44"/>
          <w:szCs w:val="44"/>
          <w:lang w:val="en-US" w:eastAsia="zh-CN"/>
        </w:rPr>
      </w:pPr>
    </w:p>
    <w:p w14:paraId="3CD92602">
      <w:pPr>
        <w:keepNext w:val="0"/>
        <w:keepLines w:val="0"/>
        <w:pageBreakBefore w:val="0"/>
        <w:widowControl w:val="0"/>
        <w:kinsoku/>
        <w:overflowPunct/>
        <w:topLinePunct w:val="0"/>
        <w:autoSpaceDE/>
        <w:autoSpaceDN/>
        <w:bidi w:val="0"/>
        <w:adjustRightInd/>
        <w:snapToGrid/>
        <w:spacing w:line="50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滦平县住房和城乡建设局</w:t>
      </w:r>
    </w:p>
    <w:p w14:paraId="07DF1247">
      <w:pPr>
        <w:keepNext w:val="0"/>
        <w:keepLines w:val="0"/>
        <w:pageBreakBefore w:val="0"/>
        <w:widowControl w:val="0"/>
        <w:kinsoku/>
        <w:overflowPunct/>
        <w:topLinePunct w:val="0"/>
        <w:autoSpaceDE/>
        <w:autoSpaceDN/>
        <w:bidi w:val="0"/>
        <w:adjustRightInd/>
        <w:snapToGrid/>
        <w:spacing w:line="500" w:lineRule="exact"/>
        <w:jc w:val="center"/>
        <w:textAlignment w:val="auto"/>
        <w:rPr>
          <w:rFonts w:hint="eastAsia" w:ascii="Calibri" w:hAnsi="Calibri" w:eastAsia="方正小标宋简体" w:cs="Times New Roman"/>
          <w:sz w:val="44"/>
          <w:szCs w:val="44"/>
        </w:rPr>
      </w:pPr>
      <w:r>
        <w:rPr>
          <w:rFonts w:hint="eastAsia" w:ascii="Calibri" w:hAnsi="Calibri" w:eastAsia="方正小标宋简体" w:cs="Times New Roman"/>
          <w:sz w:val="44"/>
          <w:szCs w:val="44"/>
        </w:rPr>
        <w:t>对滦平县</w:t>
      </w:r>
      <w:r>
        <w:rPr>
          <w:rFonts w:hint="eastAsia" w:ascii="Calibri" w:hAnsi="Calibri" w:eastAsia="方正小标宋简体" w:cs="Times New Roman"/>
          <w:sz w:val="44"/>
          <w:szCs w:val="44"/>
          <w:lang w:val="en-US" w:eastAsia="zh-CN"/>
        </w:rPr>
        <w:t>第</w:t>
      </w:r>
      <w:r>
        <w:rPr>
          <w:rFonts w:hint="eastAsia" w:ascii="Calibri" w:hAnsi="Calibri" w:eastAsia="方正小标宋简体" w:cs="Times New Roman"/>
          <w:sz w:val="44"/>
          <w:szCs w:val="44"/>
        </w:rPr>
        <w:t>十七届人民代表大会</w:t>
      </w:r>
    </w:p>
    <w:p w14:paraId="40D67CCD">
      <w:pPr>
        <w:keepNext w:val="0"/>
        <w:keepLines w:val="0"/>
        <w:pageBreakBefore w:val="0"/>
        <w:widowControl w:val="0"/>
        <w:kinsoku/>
        <w:overflowPunct/>
        <w:topLinePunct w:val="0"/>
        <w:autoSpaceDE/>
        <w:autoSpaceDN/>
        <w:bidi w:val="0"/>
        <w:adjustRightInd/>
        <w:snapToGrid/>
        <w:spacing w:line="500" w:lineRule="exact"/>
        <w:jc w:val="center"/>
        <w:textAlignment w:val="auto"/>
        <w:rPr>
          <w:rFonts w:hint="eastAsia" w:ascii="Calibri" w:hAnsi="Calibri" w:eastAsia="方正小标宋简体" w:cs="Times New Roman"/>
          <w:sz w:val="44"/>
          <w:szCs w:val="44"/>
        </w:rPr>
      </w:pPr>
      <w:r>
        <w:rPr>
          <w:rFonts w:hint="eastAsia" w:ascii="Calibri" w:hAnsi="Calibri" w:eastAsia="方正小标宋简体" w:cs="Times New Roman"/>
          <w:sz w:val="44"/>
          <w:szCs w:val="44"/>
          <w:lang w:val="en" w:eastAsia="en"/>
        </w:rPr>
        <w:t>第</w:t>
      </w:r>
      <w:r>
        <w:rPr>
          <w:rFonts w:hint="eastAsia" w:ascii="Calibri" w:hAnsi="Calibri" w:eastAsia="方正小标宋简体" w:cs="Times New Roman"/>
          <w:sz w:val="44"/>
          <w:szCs w:val="44"/>
          <w:lang w:val="en-US" w:eastAsia="zh-CN"/>
        </w:rPr>
        <w:t>五</w:t>
      </w:r>
      <w:r>
        <w:rPr>
          <w:rFonts w:hint="eastAsia" w:ascii="Calibri" w:hAnsi="Calibri" w:eastAsia="方正小标宋简体" w:cs="Times New Roman"/>
          <w:sz w:val="44"/>
          <w:szCs w:val="44"/>
          <w:lang w:val="en" w:eastAsia="en"/>
        </w:rPr>
        <w:t>次</w:t>
      </w:r>
      <w:r>
        <w:rPr>
          <w:rFonts w:hint="eastAsia" w:ascii="Calibri" w:hAnsi="Calibri" w:eastAsia="方正小标宋简体" w:cs="Times New Roman"/>
          <w:sz w:val="44"/>
          <w:szCs w:val="44"/>
        </w:rPr>
        <w:t>会议第</w:t>
      </w:r>
      <w:r>
        <w:rPr>
          <w:rFonts w:hint="eastAsia" w:ascii="方正小标宋简体" w:hAnsi="方正小标宋简体" w:eastAsia="方正小标宋简体" w:cs="方正小标宋简体"/>
          <w:sz w:val="44"/>
          <w:szCs w:val="44"/>
          <w:lang w:val="en-US" w:eastAsia="zh-CN"/>
        </w:rPr>
        <w:t>86</w:t>
      </w:r>
      <w:r>
        <w:rPr>
          <w:rFonts w:hint="eastAsia" w:ascii="Calibri" w:hAnsi="Calibri" w:eastAsia="方正小标宋简体" w:cs="Times New Roman"/>
          <w:sz w:val="44"/>
          <w:szCs w:val="44"/>
        </w:rPr>
        <w:t>号建议的答复</w:t>
      </w:r>
    </w:p>
    <w:p w14:paraId="7B5AE391">
      <w:pPr>
        <w:keepNext w:val="0"/>
        <w:keepLines w:val="0"/>
        <w:pageBreakBefore w:val="0"/>
        <w:widowControl w:val="0"/>
        <w:kinsoku/>
        <w:overflowPunct/>
        <w:topLinePunct w:val="0"/>
        <w:autoSpaceDE/>
        <w:autoSpaceDN/>
        <w:bidi w:val="0"/>
        <w:adjustRightInd/>
        <w:snapToGrid/>
        <w:spacing w:line="500" w:lineRule="exact"/>
        <w:textAlignment w:val="auto"/>
        <w:rPr>
          <w:rFonts w:hint="eastAsia" w:ascii="仿宋_GB2312" w:eastAsia="仿宋_GB2312"/>
          <w:sz w:val="32"/>
          <w:szCs w:val="24"/>
        </w:rPr>
      </w:pPr>
    </w:p>
    <w:p w14:paraId="61BFE3E6">
      <w:pPr>
        <w:keepNext w:val="0"/>
        <w:keepLines w:val="0"/>
        <w:pageBreakBefore w:val="0"/>
        <w:widowControl w:val="0"/>
        <w:kinsoku/>
        <w:overflowPunct/>
        <w:topLinePunct w:val="0"/>
        <w:autoSpaceDE/>
        <w:autoSpaceDN/>
        <w:bidi w:val="0"/>
        <w:adjustRightInd/>
        <w:snapToGrid/>
        <w:spacing w:line="50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李晓东</w:t>
      </w:r>
      <w:r>
        <w:rPr>
          <w:rFonts w:hint="eastAsia" w:ascii="仿宋_GB2312" w:hAnsi="仿宋_GB2312" w:eastAsia="仿宋_GB2312" w:cs="仿宋_GB2312"/>
          <w:sz w:val="32"/>
          <w:szCs w:val="32"/>
        </w:rPr>
        <w:t>代表：</w:t>
      </w:r>
    </w:p>
    <w:p w14:paraId="5EFED31D">
      <w:pPr>
        <w:keepNext w:val="0"/>
        <w:keepLines w:val="0"/>
        <w:pageBreakBefore w:val="0"/>
        <w:widowControl w:val="0"/>
        <w:kinsoku/>
        <w:overflowPunct/>
        <w:topLinePunct w:val="0"/>
        <w:autoSpaceDE/>
        <w:autoSpaceDN/>
        <w:bidi w:val="0"/>
        <w:adjustRightInd/>
        <w:snapToGrid/>
        <w:spacing w:line="500" w:lineRule="exact"/>
        <w:ind w:firstLine="645"/>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您提出的关于“</w:t>
      </w:r>
      <w:r>
        <w:rPr>
          <w:rFonts w:hint="eastAsia" w:ascii="仿宋_GB2312" w:hAnsi="仿宋_GB2312" w:eastAsia="仿宋_GB2312" w:cs="仿宋_GB2312"/>
          <w:sz w:val="32"/>
          <w:szCs w:val="32"/>
          <w:lang w:val="en-US" w:eastAsia="zh-CN"/>
        </w:rPr>
        <w:t>热力等企业指定热力计量表厂家，价格虚高，破坏营商环境</w:t>
      </w:r>
      <w:r>
        <w:rPr>
          <w:rFonts w:hint="eastAsia" w:ascii="仿宋_GB2312" w:hAnsi="仿宋_GB2312" w:eastAsia="仿宋_GB2312" w:cs="仿宋_GB2312"/>
          <w:sz w:val="32"/>
          <w:szCs w:val="32"/>
        </w:rPr>
        <w:t>”的建议收悉，现答复如下：</w:t>
      </w:r>
    </w:p>
    <w:p w14:paraId="17916209">
      <w:pPr>
        <w:keepNext w:val="0"/>
        <w:keepLines w:val="0"/>
        <w:pageBreakBefore w:val="0"/>
        <w:numPr>
          <w:ilvl w:val="0"/>
          <w:numId w:val="0"/>
        </w:numPr>
        <w:kinsoku/>
        <w:overflowPunct/>
        <w:topLinePunct w:val="0"/>
        <w:autoSpaceDE/>
        <w:autoSpaceDN/>
        <w:bidi w:val="0"/>
        <w:adjustRightInd/>
        <w:snapToGrid/>
        <w:spacing w:line="500" w:lineRule="exact"/>
        <w:ind w:firstLine="640" w:firstLineChars="20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一、计量装置费用计入</w:t>
      </w:r>
      <w:bookmarkStart w:id="0" w:name="_GoBack"/>
      <w:bookmarkEnd w:id="0"/>
      <w:r>
        <w:rPr>
          <w:rFonts w:hint="eastAsia" w:ascii="黑体" w:hAnsi="黑体" w:eastAsia="黑体" w:cs="黑体"/>
          <w:b w:val="0"/>
          <w:bCs w:val="0"/>
          <w:sz w:val="32"/>
          <w:szCs w:val="32"/>
          <w:lang w:val="en-US" w:eastAsia="zh-CN"/>
        </w:rPr>
        <w:t>建房成本的问题</w:t>
      </w:r>
    </w:p>
    <w:p w14:paraId="5D094BE8">
      <w:pPr>
        <w:keepNext w:val="0"/>
        <w:keepLines w:val="0"/>
        <w:pageBreakBefore w:val="0"/>
        <w:numPr>
          <w:ilvl w:val="0"/>
          <w:numId w:val="0"/>
        </w:numPr>
        <w:kinsoku/>
        <w:overflowPunct/>
        <w:topLinePunct w:val="0"/>
        <w:autoSpaceDE/>
        <w:autoSpaceDN/>
        <w:bidi w:val="0"/>
        <w:adjustRightInd/>
        <w:snapToGrid/>
        <w:spacing w:line="500" w:lineRule="exact"/>
        <w:ind w:firstLine="64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（一）2003年</w:t>
      </w:r>
      <w:r>
        <w:rPr>
          <w:rFonts w:hint="eastAsia" w:ascii="仿宋_GB2312" w:hAnsi="仿宋_GB2312" w:eastAsia="仿宋_GB2312" w:cs="仿宋_GB2312"/>
          <w:sz w:val="32"/>
          <w:szCs w:val="32"/>
        </w:rPr>
        <w:t>建设部</w:t>
      </w:r>
      <w:r>
        <w:rPr>
          <w:rFonts w:hint="eastAsia" w:ascii="仿宋_GB2312" w:hAnsi="仿宋_GB2312" w:eastAsia="仿宋_GB2312" w:cs="仿宋_GB2312"/>
          <w:sz w:val="32"/>
          <w:szCs w:val="32"/>
          <w:lang w:val="en-US" w:eastAsia="zh-CN"/>
        </w:rPr>
        <w:t>等八部委</w:t>
      </w:r>
      <w:r>
        <w:rPr>
          <w:rFonts w:hint="eastAsia" w:ascii="仿宋_GB2312" w:hAnsi="仿宋_GB2312" w:eastAsia="仿宋_GB2312" w:cs="仿宋_GB2312"/>
          <w:sz w:val="32"/>
          <w:szCs w:val="32"/>
        </w:rPr>
        <w:t>《关于</w:t>
      </w:r>
      <w:r>
        <w:rPr>
          <w:rFonts w:hint="eastAsia" w:ascii="仿宋_GB2312" w:hAnsi="仿宋_GB2312" w:eastAsia="仿宋_GB2312" w:cs="仿宋_GB2312"/>
          <w:sz w:val="32"/>
          <w:szCs w:val="32"/>
          <w:lang w:val="en-US" w:eastAsia="zh-CN"/>
        </w:rPr>
        <w:t>城镇供热体制改革试点工作的指导意见</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建城［200</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148</w:t>
      </w:r>
      <w:r>
        <w:rPr>
          <w:rFonts w:hint="eastAsia" w:ascii="仿宋_GB2312" w:hAnsi="仿宋_GB2312" w:eastAsia="仿宋_GB2312" w:cs="仿宋_GB2312"/>
          <w:sz w:val="32"/>
          <w:szCs w:val="32"/>
        </w:rPr>
        <w:t>号</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第三项第八条中明确指出“计量及温控装置费用计入房屋建造成本”。</w:t>
      </w:r>
    </w:p>
    <w:p w14:paraId="32F15425">
      <w:pPr>
        <w:keepNext w:val="0"/>
        <w:keepLines w:val="0"/>
        <w:pageBreakBefore w:val="0"/>
        <w:numPr>
          <w:ilvl w:val="0"/>
          <w:numId w:val="0"/>
        </w:numPr>
        <w:shd w:val="clear"/>
        <w:kinsoku/>
        <w:overflowPunct/>
        <w:topLinePunct w:val="0"/>
        <w:autoSpaceDE/>
        <w:autoSpaceDN/>
        <w:bidi w:val="0"/>
        <w:adjustRightInd/>
        <w:snapToGrid/>
        <w:spacing w:line="500" w:lineRule="exact"/>
        <w:ind w:firstLine="640"/>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二）河北省人民政府办公厅《关于全面推进供热计量改革促进建筑节能的意见》（冀政办［2009］95号）中明确规定，“由供热单位负责供热计量和温度调控装置的选型、购置、维护管理等，购置费用纳入建房成本。”</w:t>
      </w:r>
    </w:p>
    <w:p w14:paraId="7F5B3491">
      <w:pPr>
        <w:keepNext w:val="0"/>
        <w:keepLines w:val="0"/>
        <w:pageBreakBefore w:val="0"/>
        <w:numPr>
          <w:ilvl w:val="0"/>
          <w:numId w:val="0"/>
        </w:numPr>
        <w:shd w:val="clear"/>
        <w:kinsoku/>
        <w:overflowPunct/>
        <w:topLinePunct w:val="0"/>
        <w:autoSpaceDE/>
        <w:autoSpaceDN/>
        <w:bidi w:val="0"/>
        <w:adjustRightInd/>
        <w:snapToGrid/>
        <w:spacing w:line="500" w:lineRule="exact"/>
        <w:ind w:firstLine="64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000000"/>
          <w:sz w:val="32"/>
          <w:szCs w:val="32"/>
          <w:lang w:val="en-US" w:eastAsia="zh-CN"/>
        </w:rPr>
        <w:t>依据相关政策可知：用于供热计量的热表等配套系统购置</w:t>
      </w:r>
      <w:r>
        <w:rPr>
          <w:rFonts w:hint="eastAsia" w:ascii="仿宋_GB2312" w:hAnsi="仿宋_GB2312" w:eastAsia="仿宋_GB2312" w:cs="仿宋_GB2312"/>
          <w:sz w:val="32"/>
          <w:szCs w:val="32"/>
          <w:lang w:val="en-US" w:eastAsia="zh-CN"/>
        </w:rPr>
        <w:t>费由开发单位承担，纳入建房成本。且由供热单位负责选型，为广大热用户把关，便于设备统一管理，防止廉价劣质计量装置安装使用。</w:t>
      </w:r>
    </w:p>
    <w:p w14:paraId="7CC3A748">
      <w:pPr>
        <w:keepNext w:val="0"/>
        <w:keepLines w:val="0"/>
        <w:pageBreakBefore w:val="0"/>
        <w:numPr>
          <w:ilvl w:val="0"/>
          <w:numId w:val="0"/>
        </w:numPr>
        <w:kinsoku/>
        <w:overflowPunct/>
        <w:topLinePunct w:val="0"/>
        <w:autoSpaceDE/>
        <w:autoSpaceDN/>
        <w:bidi w:val="0"/>
        <w:adjustRightInd/>
        <w:snapToGrid/>
        <w:spacing w:line="500" w:lineRule="exact"/>
        <w:ind w:firstLine="640" w:firstLineChars="20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二、关于热表定价及监管的问题</w:t>
      </w:r>
    </w:p>
    <w:p w14:paraId="347769BF">
      <w:pPr>
        <w:pStyle w:val="4"/>
        <w:keepNext w:val="0"/>
        <w:keepLines w:val="0"/>
        <w:pageBreakBefore w:val="0"/>
        <w:kinsoku/>
        <w:overflowPunct/>
        <w:topLinePunct w:val="0"/>
        <w:autoSpaceDE/>
        <w:autoSpaceDN/>
        <w:bidi w:val="0"/>
        <w:adjustRightInd/>
        <w:snapToGrid/>
        <w:spacing w:before="0" w:beforeAutospacing="0" w:after="0" w:afterAutospacing="0" w:line="5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rPr>
        <w:t>）</w:t>
      </w:r>
      <w:r>
        <w:rPr>
          <w:rFonts w:hint="eastAsia" w:ascii="仿宋_GB2312" w:hAnsi="仿宋_GB2312" w:eastAsia="仿宋_GB2312" w:cs="仿宋_GB2312"/>
          <w:color w:val="000000"/>
          <w:sz w:val="32"/>
          <w:szCs w:val="32"/>
        </w:rPr>
        <w:t>2008年《民用建筑供热计量管理办法》中第十四条,</w:t>
      </w:r>
      <w:r>
        <w:rPr>
          <w:rFonts w:hint="eastAsia" w:ascii="仿宋_GB2312" w:hAnsi="仿宋_GB2312" w:eastAsia="仿宋_GB2312" w:cs="仿宋_GB2312"/>
          <w:sz w:val="32"/>
          <w:szCs w:val="32"/>
        </w:rPr>
        <w:t>供热单位应当采购符合国家相关标准的供热计量装置和室内温度调控装置。建设单位不得明示或暗示供热单位采购不符合国家相关标准的供热计量装置和室内温度调控装置。</w:t>
      </w:r>
    </w:p>
    <w:p w14:paraId="66999F28">
      <w:pPr>
        <w:keepNext w:val="0"/>
        <w:keepLines w:val="0"/>
        <w:pageBreakBefore w:val="0"/>
        <w:numPr>
          <w:ilvl w:val="0"/>
          <w:numId w:val="0"/>
        </w:numPr>
        <w:kinsoku/>
        <w:overflowPunct/>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（二）2004年承德市建设局</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承德市新建住宅室内采暖系统安装热计量装置暂行规定</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承市建技</w:t>
      </w:r>
      <w:r>
        <w:rPr>
          <w:rFonts w:hint="eastAsia" w:ascii="仿宋_GB2312" w:hAnsi="仿宋_GB2312" w:eastAsia="仿宋_GB2312" w:cs="仿宋_GB2312"/>
          <w:sz w:val="32"/>
          <w:szCs w:val="32"/>
        </w:rPr>
        <w:t>［200</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rPr>
        <w:t>号</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第六条，为保证供热计量仪表质量，规范市场，热计量仪表及锁闭阀、温控装置等产品在投放市场使用前必须经建设行政主管部门认定，并经技术监督部门检测合格后方可使用。</w:t>
      </w:r>
    </w:p>
    <w:p w14:paraId="45566BED">
      <w:pPr>
        <w:keepNext w:val="0"/>
        <w:keepLines w:val="0"/>
        <w:pageBreakBefore w:val="0"/>
        <w:kinsoku/>
        <w:overflowPunct/>
        <w:topLinePunct w:val="0"/>
        <w:autoSpaceDE/>
        <w:autoSpaceDN/>
        <w:bidi w:val="0"/>
        <w:adjustRightInd/>
        <w:snapToGrid/>
        <w:spacing w:line="50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新建建筑供热计量装置纳入建房成本由开发单位负责；计量装置实行市场准入制度，严格执行选型、招标、定价、采购、检定等程序，因热表种类较多，质量参差不齐，经过10余年的实践比选，逐渐淘汰了劣质品牌，淘汰了机械式热表，目前市场上超声波热表价格也由当初的1000余元降至500元左右。为热用户长期使用可信赖的品牌计量装置提供了有效保障，实实在在地维护了热用户的合法权益。为开发企业提供10种品牌，供开发企业选用，有效避免了产品质量问题。</w:t>
      </w:r>
    </w:p>
    <w:p w14:paraId="76C22B27">
      <w:pPr>
        <w:keepNext w:val="0"/>
        <w:keepLines w:val="0"/>
        <w:pageBreakBefore w:val="0"/>
        <w:widowControl w:val="0"/>
        <w:kinsoku/>
        <w:wordWrap w:val="0"/>
        <w:overflowPunct/>
        <w:topLinePunct w:val="0"/>
        <w:autoSpaceDE/>
        <w:autoSpaceDN/>
        <w:bidi w:val="0"/>
        <w:adjustRightInd/>
        <w:snapToGrid/>
        <w:spacing w:line="500" w:lineRule="exact"/>
        <w:ind w:firstLine="4480" w:firstLineChars="1400"/>
        <w:textAlignment w:val="auto"/>
        <w:rPr>
          <w:rFonts w:hint="eastAsia" w:ascii="仿宋_GB2312" w:hAnsi="仿宋_GB2312" w:eastAsia="仿宋_GB2312" w:cs="仿宋_GB2312"/>
          <w:sz w:val="32"/>
          <w:szCs w:val="32"/>
          <w:lang w:val="en-US" w:eastAsia="zh-CN"/>
        </w:rPr>
      </w:pPr>
    </w:p>
    <w:p w14:paraId="2A2E6263">
      <w:pPr>
        <w:keepNext w:val="0"/>
        <w:keepLines w:val="0"/>
        <w:pageBreakBefore w:val="0"/>
        <w:widowControl w:val="0"/>
        <w:kinsoku/>
        <w:wordWrap w:val="0"/>
        <w:overflowPunct/>
        <w:topLinePunct w:val="0"/>
        <w:autoSpaceDE/>
        <w:autoSpaceDN/>
        <w:bidi w:val="0"/>
        <w:adjustRightInd/>
        <w:snapToGrid/>
        <w:spacing w:line="500" w:lineRule="exact"/>
        <w:ind w:firstLine="4480" w:firstLineChars="1400"/>
        <w:textAlignment w:val="auto"/>
        <w:rPr>
          <w:rFonts w:hint="eastAsia" w:ascii="仿宋_GB2312" w:hAnsi="仿宋_GB2312" w:eastAsia="仿宋_GB2312" w:cs="仿宋_GB2312"/>
          <w:sz w:val="32"/>
          <w:szCs w:val="32"/>
          <w:lang w:val="en-US" w:eastAsia="zh-CN"/>
        </w:rPr>
      </w:pPr>
    </w:p>
    <w:p w14:paraId="5D2E3092">
      <w:pPr>
        <w:keepNext w:val="0"/>
        <w:keepLines w:val="0"/>
        <w:pageBreakBefore w:val="0"/>
        <w:widowControl w:val="0"/>
        <w:kinsoku/>
        <w:wordWrap w:val="0"/>
        <w:overflowPunct/>
        <w:topLinePunct w:val="0"/>
        <w:autoSpaceDE/>
        <w:autoSpaceDN/>
        <w:bidi w:val="0"/>
        <w:adjustRightInd/>
        <w:snapToGrid/>
        <w:spacing w:line="500" w:lineRule="exact"/>
        <w:ind w:firstLine="4480" w:firstLineChars="14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滦平县住房和城乡建设局</w:t>
      </w:r>
    </w:p>
    <w:p w14:paraId="4D306AAC">
      <w:pPr>
        <w:keepNext w:val="0"/>
        <w:keepLines w:val="0"/>
        <w:pageBreakBefore w:val="0"/>
        <w:kinsoku/>
        <w:overflowPunct/>
        <w:topLinePunct w:val="0"/>
        <w:autoSpaceDE/>
        <w:autoSpaceDN/>
        <w:bidi w:val="0"/>
        <w:adjustRightInd/>
        <w:snapToGrid/>
        <w:spacing w:line="500" w:lineRule="exact"/>
        <w:jc w:val="center"/>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2025</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日</w:t>
      </w:r>
    </w:p>
    <w:p w14:paraId="22E88F89">
      <w:pPr>
        <w:keepNext w:val="0"/>
        <w:keepLines w:val="0"/>
        <w:pageBreakBefore w:val="0"/>
        <w:widowControl w:val="0"/>
        <w:kinsoku/>
        <w:overflowPunct/>
        <w:topLinePunct w:val="0"/>
        <w:autoSpaceDE/>
        <w:autoSpaceDN/>
        <w:bidi w:val="0"/>
        <w:adjustRightInd/>
        <w:snapToGrid/>
        <w:spacing w:line="500" w:lineRule="exact"/>
        <w:ind w:firstLine="645"/>
        <w:textAlignment w:val="auto"/>
        <w:rPr>
          <w:rFonts w:hint="eastAsia" w:ascii="仿宋_GB2312" w:hAnsi="仿宋_GB2312" w:eastAsia="仿宋_GB2312" w:cs="仿宋_GB2312"/>
          <w:sz w:val="32"/>
          <w:szCs w:val="32"/>
        </w:rPr>
      </w:pPr>
    </w:p>
    <w:p w14:paraId="35C4AD8D">
      <w:pPr>
        <w:keepNext w:val="0"/>
        <w:keepLines w:val="0"/>
        <w:pageBreakBefore w:val="0"/>
        <w:widowControl w:val="0"/>
        <w:kinsoku/>
        <w:overflowPunct/>
        <w:topLinePunct w:val="0"/>
        <w:autoSpaceDE/>
        <w:autoSpaceDN/>
        <w:bidi w:val="0"/>
        <w:adjustRightInd/>
        <w:snapToGrid/>
        <w:spacing w:line="500" w:lineRule="exact"/>
        <w:textAlignment w:val="auto"/>
        <w:rPr>
          <w:rFonts w:hint="eastAsia" w:ascii="仿宋_GB2312" w:hAnsi="仿宋_GB2312" w:eastAsia="仿宋_GB2312" w:cs="仿宋_GB2312"/>
          <w:sz w:val="32"/>
          <w:szCs w:val="32"/>
        </w:rPr>
      </w:pPr>
    </w:p>
    <w:p w14:paraId="29FF895F">
      <w:pPr>
        <w:keepNext w:val="0"/>
        <w:keepLines w:val="0"/>
        <w:pageBreakBefore w:val="0"/>
        <w:widowControl w:val="0"/>
        <w:kinsoku/>
        <w:overflowPunct/>
        <w:topLinePunct w:val="0"/>
        <w:autoSpaceDE/>
        <w:autoSpaceDN/>
        <w:bidi w:val="0"/>
        <w:adjustRightInd/>
        <w:snapToGrid/>
        <w:spacing w:line="50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领导签发：</w:t>
      </w:r>
    </w:p>
    <w:p w14:paraId="38A9F85F">
      <w:pPr>
        <w:keepNext w:val="0"/>
        <w:keepLines w:val="0"/>
        <w:pageBreakBefore w:val="0"/>
        <w:widowControl w:val="0"/>
        <w:kinsoku/>
        <w:overflowPunct/>
        <w:topLinePunct w:val="0"/>
        <w:autoSpaceDE/>
        <w:autoSpaceDN/>
        <w:bidi w:val="0"/>
        <w:adjustRightInd/>
        <w:snapToGrid/>
        <w:spacing w:line="50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联系人及电话：</w:t>
      </w:r>
      <w:r>
        <w:rPr>
          <w:rFonts w:hint="eastAsia" w:ascii="仿宋_GB2312" w:hAnsi="仿宋_GB2312" w:eastAsia="仿宋_GB2312" w:cs="仿宋_GB2312"/>
          <w:sz w:val="32"/>
          <w:szCs w:val="32"/>
          <w:lang w:val="en-US" w:eastAsia="zh-CN"/>
        </w:rPr>
        <w:t>于长勤  0314-8582860</w:t>
      </w:r>
    </w:p>
    <w:p w14:paraId="338A93EC">
      <w:pPr>
        <w:keepNext w:val="0"/>
        <w:keepLines w:val="0"/>
        <w:pageBreakBefore w:val="0"/>
        <w:widowControl w:val="0"/>
        <w:kinsoku/>
        <w:overflowPunct/>
        <w:topLinePunct w:val="0"/>
        <w:autoSpaceDE/>
        <w:autoSpaceDN/>
        <w:bidi w:val="0"/>
        <w:adjustRightInd/>
        <w:snapToGrid/>
        <w:spacing w:line="50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抄报：县人大选举任免代表工作委员会、县政府办公室</w:t>
      </w:r>
    </w:p>
    <w:sectPr>
      <w:pgSz w:w="11906" w:h="16838"/>
      <w:pgMar w:top="1440" w:right="1800" w:bottom="1440" w:left="1800" w:header="720" w:footer="720" w:gutter="0"/>
      <w:lnNumType w:countBy="0" w:distance="360"/>
      <w:cols w:space="0" w:num="1"/>
      <w:rtlGutter w:val="0"/>
      <w:docGrid w:linePitch="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1C28ED6-F479-4AAB-A661-BE133B58092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0C97039B-88A8-4259-8E87-337655878DA5}"/>
  </w:font>
  <w:font w:name="仿宋_GB2312">
    <w:panose1 w:val="02010609030101010101"/>
    <w:charset w:val="86"/>
    <w:family w:val="modern"/>
    <w:pitch w:val="default"/>
    <w:sig w:usb0="00000001" w:usb1="080E0000" w:usb2="00000000" w:usb3="00000000" w:csb0="00040000" w:csb1="00000000"/>
    <w:embedRegular r:id="rId3" w:fontKey="{7E798359-8C61-462E-A27E-16353626CDB3}"/>
  </w:font>
  <w:font w:name="方正小标宋简体">
    <w:panose1 w:val="02000000000000000000"/>
    <w:charset w:val="86"/>
    <w:family w:val="auto"/>
    <w:pitch w:val="default"/>
    <w:sig w:usb0="00000001" w:usb1="080E0000" w:usb2="00000000" w:usb3="00000000" w:csb0="00040000" w:csb1="00000000"/>
    <w:embedRegular r:id="rId4" w:fontKey="{7F9EB92E-1756-4FBC-BD54-1A669C6DDCB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90E6C05"/>
    <w:rsid w:val="264D5CB4"/>
    <w:rsid w:val="31F135B3"/>
    <w:rsid w:val="3CC070D8"/>
    <w:rsid w:val="4B3D6B93"/>
    <w:rsid w:val="4B485BA6"/>
    <w:rsid w:val="4ED002D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nhideWhenUsed/>
    <w:qFormat/>
    <w:uiPriority w:val="0"/>
    <w:pPr>
      <w:jc w:val="both"/>
    </w:pPr>
    <w:rPr>
      <w:rFonts w:hint="default" w:ascii="Wingdings" w:hAnsi="Wingdings" w:eastAsia="宋体" w:cs="Times New Roman"/>
      <w:kern w:val="2"/>
      <w:sz w:val="21"/>
      <w:szCs w:val="24"/>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customStyle="1" w:styleId="2">
    <w:name w:val="Plain Text1"/>
    <w:basedOn w:val="1"/>
    <w:next w:val="3"/>
    <w:qFormat/>
    <w:uiPriority w:val="0"/>
    <w:pPr>
      <w:widowControl w:val="0"/>
      <w:spacing w:after="0" w:afterLines="0"/>
      <w:jc w:val="both"/>
    </w:pPr>
    <w:rPr>
      <w:rFonts w:ascii="宋体" w:hAnsi="Courier New" w:eastAsia="宋体" w:cs="Times New Roman"/>
      <w:kern w:val="2"/>
      <w:sz w:val="21"/>
      <w:szCs w:val="24"/>
      <w:lang w:val="en-US" w:eastAsia="zh-CN"/>
    </w:rPr>
  </w:style>
  <w:style w:type="paragraph" w:customStyle="1" w:styleId="3">
    <w:name w:val="index 91"/>
    <w:basedOn w:val="1"/>
    <w:next w:val="1"/>
    <w:qFormat/>
    <w:uiPriority w:val="0"/>
    <w:pPr>
      <w:ind w:left="1600" w:leftChars="1600"/>
    </w:pPr>
  </w:style>
  <w:style w:type="paragraph" w:styleId="4">
    <w:name w:val="Normal (Web)"/>
    <w:basedOn w:val="1"/>
    <w:unhideWhenUsed/>
    <w:qFormat/>
    <w:uiPriority w:val="0"/>
    <w:pPr>
      <w:spacing w:before="100" w:beforeAutospacing="1" w:after="100" w:afterAutospacing="1"/>
      <w:jc w:val="left"/>
    </w:pPr>
    <w:rPr>
      <w:rFonts w:hint="default"/>
      <w:kern w:val="0"/>
      <w:sz w:val="24"/>
      <w:szCs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896</Words>
  <Characters>944</Characters>
  <Lines>0</Lines>
  <Paragraphs>0</Paragraphs>
  <TotalTime>2</TotalTime>
  <ScaleCrop>false</ScaleCrop>
  <LinksUpToDate>false</LinksUpToDate>
  <CharactersWithSpaces>1017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2025-06-06T07:12:00Z</dcterms:created>
  <dc:creator>lpzjj</dc:creator>
  <cp:lastModifiedBy>张云鹏</cp:lastModifiedBy>
  <cp:lastPrinted>2025-07-30T01:24:37Z</cp:lastPrinted>
  <dcterms:modified xsi:type="dcterms:W3CDTF">2025-07-30T01:24:50Z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eyJoZGlkIjoiYWMwZjE3NWRiNGY2NjM3ZDc5YjVmMDViYjgyOTgwMTYiLCJ1c2VySWQiOiIxNjQ2MDUyOTAzIn0=</vt:lpwstr>
  </property>
  <property fmtid="{D5CDD505-2E9C-101B-9397-08002B2CF9AE}" pid="4" name="ICV">
    <vt:lpwstr>9DD45806BC4547AD89E74EB4EE74F233_13</vt:lpwstr>
  </property>
</Properties>
</file>